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0A" w:rsidRDefault="00C0110A" w:rsidP="00C0110A">
      <w:r>
        <w:t xml:space="preserve">Bob and June </w:t>
      </w:r>
      <w:proofErr w:type="spellStart"/>
      <w:r>
        <w:t>Bartz</w:t>
      </w:r>
      <w:proofErr w:type="spellEnd"/>
      <w:r>
        <w:t xml:space="preserve"> formed </w:t>
      </w:r>
      <w:proofErr w:type="spellStart"/>
      <w:r>
        <w:t>Bartz</w:t>
      </w:r>
      <w:proofErr w:type="spellEnd"/>
      <w:r>
        <w:t xml:space="preserve"> Corporation in 1989 and elected S status immediately.  The entity was designed to own and manage four-unit apartment buildings in their Mississippi town of Quintet.  Over the years, the entity was slightly profitable.  About a decade ago, the </w:t>
      </w:r>
      <w:proofErr w:type="spellStart"/>
      <w:r>
        <w:t>Bartzes</w:t>
      </w:r>
      <w:proofErr w:type="spellEnd"/>
      <w:r>
        <w:t xml:space="preserve"> began to sell off their buildings, and only one now remains in the corporation’s name.  Four years ago, the entity sold off the realty management operations to a local entity, the Quintet Life LLC.</w:t>
      </w:r>
    </w:p>
    <w:p w:rsidR="00C0110A" w:rsidRDefault="00C0110A" w:rsidP="00C0110A"/>
    <w:p w:rsidR="00C0110A" w:rsidRDefault="00C0110A" w:rsidP="00C0110A">
      <w:r>
        <w:t xml:space="preserve">The </w:t>
      </w:r>
      <w:proofErr w:type="spellStart"/>
      <w:r>
        <w:t>Bartzes</w:t>
      </w:r>
      <w:proofErr w:type="spellEnd"/>
      <w:r>
        <w:t xml:space="preserve"> have no children or any other direct descendants.  They are not related to any of the owners of Quintet Life.  The couple wants to wind down the activities of </w:t>
      </w:r>
      <w:proofErr w:type="spellStart"/>
      <w:r>
        <w:t>Bartz</w:t>
      </w:r>
      <w:proofErr w:type="spellEnd"/>
      <w:r>
        <w:t xml:space="preserve"> Corp, cashing out of the remaining apartment unit, the Delta Digs, and retiring to a lakefront condo in Arkansas.  The couple anticipates that their average state and federal income tax rate will fall from 33 to 26 percent for next year.  The </w:t>
      </w:r>
      <w:proofErr w:type="spellStart"/>
      <w:r>
        <w:t>Bartzes</w:t>
      </w:r>
      <w:proofErr w:type="spellEnd"/>
      <w:r>
        <w:t xml:space="preserve"> are not subject to the alternative minimum tax, and </w:t>
      </w:r>
      <w:proofErr w:type="spellStart"/>
      <w:r>
        <w:t>Bartz</w:t>
      </w:r>
      <w:proofErr w:type="spellEnd"/>
      <w:r>
        <w:t xml:space="preserve"> Corp carries no exposure to the S corporation built-in-gain or passive investment income taxes.</w:t>
      </w:r>
    </w:p>
    <w:p w:rsidR="00C0110A" w:rsidRDefault="00C0110A" w:rsidP="00C0110A"/>
    <w:p w:rsidR="00C0110A" w:rsidRDefault="00C0110A" w:rsidP="00C0110A">
      <w:r>
        <w:t xml:space="preserve">The </w:t>
      </w:r>
      <w:proofErr w:type="spellStart"/>
      <w:r>
        <w:t>Bartzes</w:t>
      </w:r>
      <w:proofErr w:type="spellEnd"/>
      <w:r>
        <w:t xml:space="preserve"> own </w:t>
      </w:r>
      <w:proofErr w:type="gramStart"/>
      <w:r>
        <w:t>all of</w:t>
      </w:r>
      <w:proofErr w:type="gramEnd"/>
      <w:r>
        <w:t xml:space="preserve"> the stock in their S corporation, in equal shares.  A long-time employee, Jill Thompson, is the only other member of the board of directors.  The board has discussed the status of the corporation after Delta Digs is sold off to a third party; Jill is a registered nurse and has no interest or capacity to stay involved in the real estate business </w:t>
      </w:r>
      <w:proofErr w:type="gramStart"/>
      <w:r>
        <w:t>if and when</w:t>
      </w:r>
      <w:proofErr w:type="gramEnd"/>
      <w:r>
        <w:t xml:space="preserve"> the </w:t>
      </w:r>
      <w:proofErr w:type="spellStart"/>
      <w:r>
        <w:t>Bartzes</w:t>
      </w:r>
      <w:proofErr w:type="spellEnd"/>
      <w:r>
        <w:t xml:space="preserve"> leave town.</w:t>
      </w:r>
    </w:p>
    <w:p w:rsidR="00C0110A" w:rsidRDefault="00C0110A" w:rsidP="00C0110A"/>
    <w:p w:rsidR="00C0110A" w:rsidRDefault="00C0110A" w:rsidP="00C0110A">
      <w:r>
        <w:t xml:space="preserve">The </w:t>
      </w:r>
      <w:proofErr w:type="spellStart"/>
      <w:r>
        <w:t>Bartz</w:t>
      </w:r>
      <w:proofErr w:type="spellEnd"/>
      <w:r>
        <w:t xml:space="preserve"> Corp board is indifferent as to whether the corporation should be liquidated after the last property is disposed of, or whether the entity should live on “just in case” another opportunity arises in Quintet and a corporate entity needs to be available and active on a short-term basis.  The annual legal and compliance costs are negligible if the board decides to continue </w:t>
      </w:r>
      <w:proofErr w:type="spellStart"/>
      <w:r>
        <w:t>Bartz</w:t>
      </w:r>
      <w:proofErr w:type="spellEnd"/>
      <w:r>
        <w:t xml:space="preserve"> Corp as a shell corporation in this manner.  Ignore any other transaction costs that would arise in the context of a corporate liquidation of the entity, or of continuing its existence.</w:t>
      </w:r>
    </w:p>
    <w:p w:rsidR="00C0110A" w:rsidRDefault="00C0110A" w:rsidP="00C0110A"/>
    <w:p w:rsidR="00C0110A" w:rsidRDefault="00C0110A" w:rsidP="00C0110A">
      <w:r>
        <w:t xml:space="preserve">Current figures as to Delta Digs is as follows.  </w:t>
      </w:r>
      <w:proofErr w:type="spellStart"/>
      <w:r>
        <w:t>Bartz</w:t>
      </w:r>
      <w:proofErr w:type="spellEnd"/>
      <w:r>
        <w:t xml:space="preserve"> Corp owns no other assets and has no outstanding liabilities other than those indicated for the building.  The entity uses a June 30 year-end for tax and accounting purposes.  Bob and June both have a $625 basis in their </w:t>
      </w:r>
      <w:proofErr w:type="spellStart"/>
      <w:r>
        <w:t>Bartz</w:t>
      </w:r>
      <w:proofErr w:type="spellEnd"/>
      <w:r>
        <w:t xml:space="preserve"> Corp shares.</w:t>
      </w:r>
    </w:p>
    <w:p w:rsidR="00C0110A" w:rsidRDefault="00C0110A" w:rsidP="00C0110A">
      <w:r>
        <w:t xml:space="preserve"> </w:t>
      </w:r>
      <w:r>
        <w:object w:dxaOrig="6025" w:dyaOrig="3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3pt;height:169.5pt" o:ole="">
            <v:imagedata r:id="rId4" o:title=""/>
          </v:shape>
          <o:OLEObject Type="Embed" ProgID="Excel.Sheet.12" ShapeID="_x0000_i1028" DrawAspect="Content" ObjectID="_1550224454" r:id="rId5"/>
        </w:object>
      </w:r>
    </w:p>
    <w:p w:rsidR="00C0110A" w:rsidRDefault="00C0110A" w:rsidP="00C0110A"/>
    <w:p w:rsidR="00C0110A" w:rsidRDefault="00C0110A" w:rsidP="00C0110A">
      <w:bookmarkStart w:id="0" w:name="_GoBack"/>
      <w:bookmarkEnd w:id="0"/>
      <w:r>
        <w:t xml:space="preserve">The </w:t>
      </w:r>
      <w:proofErr w:type="spellStart"/>
      <w:r>
        <w:t>Bartz</w:t>
      </w:r>
      <w:proofErr w:type="spellEnd"/>
      <w:r>
        <w:t xml:space="preserve"> board has narrowed its plans for the disposition of Delta Digs to the following two alternatives.  In either case, the asset is sold under a contract in Year One, to a single purchaser at fair market value.  The purchaser remits $2,000 cash in Year One.  It also gives </w:t>
      </w:r>
      <w:proofErr w:type="spellStart"/>
      <w:r>
        <w:t>Bartz</w:t>
      </w:r>
      <w:proofErr w:type="spellEnd"/>
      <w:r>
        <w:t xml:space="preserve"> Corp a note for $4,000, payable in full in Year Two.</w:t>
      </w:r>
    </w:p>
    <w:p w:rsidR="00C0110A" w:rsidRDefault="00C0110A" w:rsidP="00C0110A"/>
    <w:p w:rsidR="00C0110A" w:rsidRDefault="00C0110A" w:rsidP="00C0110A">
      <w:r>
        <w:t>The board has asked you, its financial and tax advisor, to analyze the alternatives from an income tax perspective.  Conduct the appropriate tax research and analyze the after-tax results of the two alternatives, with a memo identifying at least 3 issues.  Add an additional alternative if you believe that it will improve the parties’ results.</w:t>
      </w:r>
    </w:p>
    <w:p w:rsidR="00C0110A" w:rsidRDefault="00C0110A" w:rsidP="00C0110A"/>
    <w:p w:rsidR="00C0110A" w:rsidRDefault="00C0110A" w:rsidP="00C0110A">
      <w:r>
        <w:t>Both Bob and June are comfortable in using spreadsheet software, so add an appendix with a summary spreadsheet for them to review.</w:t>
      </w:r>
    </w:p>
    <w:p w:rsidR="00C0110A" w:rsidRDefault="00C0110A" w:rsidP="00C0110A"/>
    <w:p w:rsidR="00C0110A" w:rsidRDefault="00C0110A" w:rsidP="00C0110A">
      <w:r>
        <w:t>ALTERNATIVE A</w:t>
      </w:r>
    </w:p>
    <w:p w:rsidR="00C0110A" w:rsidRDefault="00C0110A" w:rsidP="00C0110A">
      <w:r>
        <w:t xml:space="preserve"> </w:t>
      </w:r>
      <w:r>
        <w:rPr>
          <w:noProof/>
        </w:rPr>
        <w:drawing>
          <wp:inline distT="0" distB="0" distL="0" distR="0" wp14:anchorId="0FE73CE1" wp14:editId="35173C4F">
            <wp:extent cx="5499321" cy="2873513"/>
            <wp:effectExtent l="38100" t="0" r="444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0110A" w:rsidRDefault="00C0110A" w:rsidP="00C0110A">
      <w:r>
        <w:t>ALTERNATIVE B</w:t>
      </w:r>
    </w:p>
    <w:p w:rsidR="00B06C07" w:rsidRDefault="00C0110A">
      <w:r>
        <w:rPr>
          <w:noProof/>
        </w:rPr>
        <w:lastRenderedPageBreak/>
        <w:drawing>
          <wp:inline distT="0" distB="0" distL="0" distR="0" wp14:anchorId="4735D300" wp14:editId="76EC8495">
            <wp:extent cx="5044551" cy="2462696"/>
            <wp:effectExtent l="38100" t="19050" r="41910" b="139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B06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0A"/>
    <w:rsid w:val="00B06C07"/>
    <w:rsid w:val="00C0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338FB-F1A4-4016-8CFD-3E0F4670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package" Target="embeddings/Microsoft_Excel_Worksheet.xlsx"/><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image" Target="media/image1.emf"/><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C49F98-53D3-4DB5-9BC4-DCE778D507E0}" type="doc">
      <dgm:prSet loTypeId="urn:microsoft.com/office/officeart/2009/3/layout/IncreasingArrowsProcess" loCatId="process" qsTypeId="urn:microsoft.com/office/officeart/2005/8/quickstyle/simple1" qsCatId="simple" csTypeId="urn:microsoft.com/office/officeart/2005/8/colors/colorful2" csCatId="colorful" phldr="1"/>
      <dgm:spPr/>
      <dgm:t>
        <a:bodyPr/>
        <a:lstStyle/>
        <a:p>
          <a:endParaRPr lang="en-US"/>
        </a:p>
      </dgm:t>
    </dgm:pt>
    <dgm:pt modelId="{D5556852-4BBD-430D-A652-BFD59CFF73A5}">
      <dgm:prSet phldrT="[Text]"/>
      <dgm:spPr/>
      <dgm:t>
        <a:bodyPr/>
        <a:lstStyle/>
        <a:p>
          <a:r>
            <a:rPr lang="en-US"/>
            <a:t>Year One, sell asset, take installment note</a:t>
          </a:r>
        </a:p>
      </dgm:t>
    </dgm:pt>
    <dgm:pt modelId="{5E698792-BEF0-424A-9FD4-A2A62491B159}" type="parTrans" cxnId="{E0575A0A-DFD3-4BE2-BA37-4C44AB48F67F}">
      <dgm:prSet/>
      <dgm:spPr/>
      <dgm:t>
        <a:bodyPr/>
        <a:lstStyle/>
        <a:p>
          <a:endParaRPr lang="en-US"/>
        </a:p>
      </dgm:t>
    </dgm:pt>
    <dgm:pt modelId="{D9D5CD79-FA17-4237-B7D6-64FB4244F5A6}" type="sibTrans" cxnId="{E0575A0A-DFD3-4BE2-BA37-4C44AB48F67F}">
      <dgm:prSet/>
      <dgm:spPr/>
      <dgm:t>
        <a:bodyPr/>
        <a:lstStyle/>
        <a:p>
          <a:endParaRPr lang="en-US"/>
        </a:p>
      </dgm:t>
    </dgm:pt>
    <dgm:pt modelId="{3F4F99CA-339D-468D-83BA-7F59AA116D84}">
      <dgm:prSet phldrT="[Text]"/>
      <dgm:spPr/>
      <dgm:t>
        <a:bodyPr/>
        <a:lstStyle/>
        <a:p>
          <a:r>
            <a:rPr lang="en-US" b="1"/>
            <a:t>S Corp result</a:t>
          </a:r>
        </a:p>
        <a:p>
          <a:endParaRPr lang="en-US" b="1"/>
        </a:p>
        <a:p>
          <a:endParaRPr lang="en-US" b="1"/>
        </a:p>
        <a:p>
          <a:r>
            <a:rPr lang="en-US" b="1"/>
            <a:t>Shareholder result</a:t>
          </a:r>
        </a:p>
      </dgm:t>
    </dgm:pt>
    <dgm:pt modelId="{6BEA9C9F-9395-4185-9711-8A01AED27EE6}" type="parTrans" cxnId="{DC1EED79-D452-46DF-BAD3-E2195A095820}">
      <dgm:prSet/>
      <dgm:spPr/>
      <dgm:t>
        <a:bodyPr/>
        <a:lstStyle/>
        <a:p>
          <a:endParaRPr lang="en-US"/>
        </a:p>
      </dgm:t>
    </dgm:pt>
    <dgm:pt modelId="{CDB926FD-7B49-4190-90FB-964E92C806CB}" type="sibTrans" cxnId="{DC1EED79-D452-46DF-BAD3-E2195A095820}">
      <dgm:prSet/>
      <dgm:spPr/>
      <dgm:t>
        <a:bodyPr/>
        <a:lstStyle/>
        <a:p>
          <a:endParaRPr lang="en-US"/>
        </a:p>
      </dgm:t>
    </dgm:pt>
    <dgm:pt modelId="{6708566D-317F-4A77-9C93-1A9445AE1AB2}">
      <dgm:prSet phldrT="[Text]"/>
      <dgm:spPr/>
      <dgm:t>
        <a:bodyPr/>
        <a:lstStyle/>
        <a:p>
          <a:r>
            <a:rPr lang="en-US"/>
            <a:t>Year One, adopt plan to liquidate S corp by year end, liquidating distribution of note</a:t>
          </a:r>
        </a:p>
      </dgm:t>
    </dgm:pt>
    <dgm:pt modelId="{BF25EE9D-DB33-4F56-9E40-EEC5C9B3FE3C}" type="parTrans" cxnId="{78C65380-D879-400E-B785-BB3BA39E7DE6}">
      <dgm:prSet/>
      <dgm:spPr/>
      <dgm:t>
        <a:bodyPr/>
        <a:lstStyle/>
        <a:p>
          <a:endParaRPr lang="en-US"/>
        </a:p>
      </dgm:t>
    </dgm:pt>
    <dgm:pt modelId="{5189C5F4-C703-428D-9769-571E2C5D5D4A}" type="sibTrans" cxnId="{78C65380-D879-400E-B785-BB3BA39E7DE6}">
      <dgm:prSet/>
      <dgm:spPr/>
      <dgm:t>
        <a:bodyPr/>
        <a:lstStyle/>
        <a:p>
          <a:endParaRPr lang="en-US"/>
        </a:p>
      </dgm:t>
    </dgm:pt>
    <dgm:pt modelId="{070D04A5-D8A5-410C-A2D8-700E71A13200}">
      <dgm:prSet phldrT="[Text]"/>
      <dgm:spPr/>
      <dgm:t>
        <a:bodyPr/>
        <a:lstStyle/>
        <a:p>
          <a:r>
            <a:rPr lang="en-US" b="1"/>
            <a:t>S Corp result</a:t>
          </a:r>
        </a:p>
        <a:p>
          <a:endParaRPr lang="en-US" b="1"/>
        </a:p>
        <a:p>
          <a:endParaRPr lang="en-US" b="1"/>
        </a:p>
        <a:p>
          <a:r>
            <a:rPr lang="en-US" b="1"/>
            <a:t>Shareholder result</a:t>
          </a:r>
        </a:p>
      </dgm:t>
    </dgm:pt>
    <dgm:pt modelId="{BBFDBDCE-11CC-4CD5-9E3C-F755CF10DCCA}" type="parTrans" cxnId="{5EC85C27-562A-4E16-BB43-2F7973A5B86F}">
      <dgm:prSet/>
      <dgm:spPr/>
      <dgm:t>
        <a:bodyPr/>
        <a:lstStyle/>
        <a:p>
          <a:endParaRPr lang="en-US"/>
        </a:p>
      </dgm:t>
    </dgm:pt>
    <dgm:pt modelId="{E9BDF36A-CE4B-493E-8B31-7791720A16CE}" type="sibTrans" cxnId="{5EC85C27-562A-4E16-BB43-2F7973A5B86F}">
      <dgm:prSet/>
      <dgm:spPr/>
      <dgm:t>
        <a:bodyPr/>
        <a:lstStyle/>
        <a:p>
          <a:endParaRPr lang="en-US"/>
        </a:p>
      </dgm:t>
    </dgm:pt>
    <dgm:pt modelId="{BC8A3418-5FF6-4347-8D02-B378AFD67516}">
      <dgm:prSet phldrT="[Text]"/>
      <dgm:spPr/>
      <dgm:t>
        <a:bodyPr/>
        <a:lstStyle/>
        <a:p>
          <a:r>
            <a:rPr lang="en-US"/>
            <a:t>Year Two, shareholders collect cash from note</a:t>
          </a:r>
        </a:p>
      </dgm:t>
    </dgm:pt>
    <dgm:pt modelId="{01D0D927-F43F-4F04-BCDA-0B99C310CAB7}" type="parTrans" cxnId="{140C4777-C3DA-4DA8-AE5B-8B466FDE5384}">
      <dgm:prSet/>
      <dgm:spPr/>
      <dgm:t>
        <a:bodyPr/>
        <a:lstStyle/>
        <a:p>
          <a:endParaRPr lang="en-US"/>
        </a:p>
      </dgm:t>
    </dgm:pt>
    <dgm:pt modelId="{428CDA6D-BE5F-4529-B6F3-F6674C15311E}" type="sibTrans" cxnId="{140C4777-C3DA-4DA8-AE5B-8B466FDE5384}">
      <dgm:prSet/>
      <dgm:spPr/>
      <dgm:t>
        <a:bodyPr/>
        <a:lstStyle/>
        <a:p>
          <a:endParaRPr lang="en-US"/>
        </a:p>
      </dgm:t>
    </dgm:pt>
    <dgm:pt modelId="{84FB4104-6165-4B06-A9C7-4600C7A3819A}">
      <dgm:prSet phldrT="[Text]"/>
      <dgm:spPr/>
      <dgm:t>
        <a:bodyPr/>
        <a:lstStyle/>
        <a:p>
          <a:r>
            <a:rPr lang="en-US" b="1"/>
            <a:t>S Corp result</a:t>
          </a:r>
        </a:p>
        <a:p>
          <a:endParaRPr lang="en-US" b="1"/>
        </a:p>
        <a:p>
          <a:endParaRPr lang="en-US" b="1"/>
        </a:p>
        <a:p>
          <a:r>
            <a:rPr lang="en-US" b="1"/>
            <a:t>Shareholder result</a:t>
          </a:r>
        </a:p>
      </dgm:t>
    </dgm:pt>
    <dgm:pt modelId="{6038FD13-392A-4BF6-89B1-7DBBC508BB8D}" type="parTrans" cxnId="{0172AD02-4DE7-4A10-BB7E-6BF4441CB85D}">
      <dgm:prSet/>
      <dgm:spPr/>
      <dgm:t>
        <a:bodyPr/>
        <a:lstStyle/>
        <a:p>
          <a:endParaRPr lang="en-US"/>
        </a:p>
      </dgm:t>
    </dgm:pt>
    <dgm:pt modelId="{78893762-FE7B-4A16-985C-241BA2855DD0}" type="sibTrans" cxnId="{0172AD02-4DE7-4A10-BB7E-6BF4441CB85D}">
      <dgm:prSet/>
      <dgm:spPr/>
      <dgm:t>
        <a:bodyPr/>
        <a:lstStyle/>
        <a:p>
          <a:endParaRPr lang="en-US"/>
        </a:p>
      </dgm:t>
    </dgm:pt>
    <dgm:pt modelId="{DA21C15D-D366-4D65-89A6-E2BC78A7BA12}" type="pres">
      <dgm:prSet presAssocID="{3EC49F98-53D3-4DB5-9BC4-DCE778D507E0}" presName="Name0" presStyleCnt="0">
        <dgm:presLayoutVars>
          <dgm:chMax val="5"/>
          <dgm:chPref val="5"/>
          <dgm:dir/>
          <dgm:animLvl val="lvl"/>
        </dgm:presLayoutVars>
      </dgm:prSet>
      <dgm:spPr/>
    </dgm:pt>
    <dgm:pt modelId="{96CEC0F2-7208-4943-9F6C-59FCD4C487ED}" type="pres">
      <dgm:prSet presAssocID="{D5556852-4BBD-430D-A652-BFD59CFF73A5}" presName="parentText1" presStyleLbl="node1" presStyleIdx="0" presStyleCnt="3">
        <dgm:presLayoutVars>
          <dgm:chMax/>
          <dgm:chPref val="3"/>
          <dgm:bulletEnabled val="1"/>
        </dgm:presLayoutVars>
      </dgm:prSet>
      <dgm:spPr/>
    </dgm:pt>
    <dgm:pt modelId="{5A7CF64E-B358-49ED-8A86-CEBA0ADB5A8B}" type="pres">
      <dgm:prSet presAssocID="{D5556852-4BBD-430D-A652-BFD59CFF73A5}" presName="childText1" presStyleLbl="solidAlignAcc1" presStyleIdx="0" presStyleCnt="3">
        <dgm:presLayoutVars>
          <dgm:chMax val="0"/>
          <dgm:chPref val="0"/>
          <dgm:bulletEnabled val="1"/>
        </dgm:presLayoutVars>
      </dgm:prSet>
      <dgm:spPr/>
    </dgm:pt>
    <dgm:pt modelId="{C0FAC5F4-8B60-4C17-83AB-E620E67E917F}" type="pres">
      <dgm:prSet presAssocID="{6708566D-317F-4A77-9C93-1A9445AE1AB2}" presName="parentText2" presStyleLbl="node1" presStyleIdx="1" presStyleCnt="3">
        <dgm:presLayoutVars>
          <dgm:chMax/>
          <dgm:chPref val="3"/>
          <dgm:bulletEnabled val="1"/>
        </dgm:presLayoutVars>
      </dgm:prSet>
      <dgm:spPr/>
    </dgm:pt>
    <dgm:pt modelId="{9CF517EA-7572-4F60-AA84-40722B0B492F}" type="pres">
      <dgm:prSet presAssocID="{6708566D-317F-4A77-9C93-1A9445AE1AB2}" presName="childText2" presStyleLbl="solidAlignAcc1" presStyleIdx="1" presStyleCnt="3">
        <dgm:presLayoutVars>
          <dgm:chMax val="0"/>
          <dgm:chPref val="0"/>
          <dgm:bulletEnabled val="1"/>
        </dgm:presLayoutVars>
      </dgm:prSet>
      <dgm:spPr/>
    </dgm:pt>
    <dgm:pt modelId="{79BA7D20-D931-4605-849D-6A6503D52705}" type="pres">
      <dgm:prSet presAssocID="{BC8A3418-5FF6-4347-8D02-B378AFD67516}" presName="parentText3" presStyleLbl="node1" presStyleIdx="2" presStyleCnt="3">
        <dgm:presLayoutVars>
          <dgm:chMax/>
          <dgm:chPref val="3"/>
          <dgm:bulletEnabled val="1"/>
        </dgm:presLayoutVars>
      </dgm:prSet>
      <dgm:spPr/>
    </dgm:pt>
    <dgm:pt modelId="{070DF525-5DDC-4AF0-8490-C998563B463B}" type="pres">
      <dgm:prSet presAssocID="{BC8A3418-5FF6-4347-8D02-B378AFD67516}" presName="childText3" presStyleLbl="solidAlignAcc1" presStyleIdx="2" presStyleCnt="3">
        <dgm:presLayoutVars>
          <dgm:chMax val="0"/>
          <dgm:chPref val="0"/>
          <dgm:bulletEnabled val="1"/>
        </dgm:presLayoutVars>
      </dgm:prSet>
      <dgm:spPr/>
    </dgm:pt>
  </dgm:ptLst>
  <dgm:cxnLst>
    <dgm:cxn modelId="{140C4777-C3DA-4DA8-AE5B-8B466FDE5384}" srcId="{3EC49F98-53D3-4DB5-9BC4-DCE778D507E0}" destId="{BC8A3418-5FF6-4347-8D02-B378AFD67516}" srcOrd="2" destOrd="0" parTransId="{01D0D927-F43F-4F04-BCDA-0B99C310CAB7}" sibTransId="{428CDA6D-BE5F-4529-B6F3-F6674C15311E}"/>
    <dgm:cxn modelId="{49904F06-B379-4CD1-9642-7BCF4C513A38}" type="presOf" srcId="{3EC49F98-53D3-4DB5-9BC4-DCE778D507E0}" destId="{DA21C15D-D366-4D65-89A6-E2BC78A7BA12}" srcOrd="0" destOrd="0" presId="urn:microsoft.com/office/officeart/2009/3/layout/IncreasingArrowsProcess"/>
    <dgm:cxn modelId="{037420BD-D91E-4E1C-BB84-EB2B0A63276D}" type="presOf" srcId="{D5556852-4BBD-430D-A652-BFD59CFF73A5}" destId="{96CEC0F2-7208-4943-9F6C-59FCD4C487ED}" srcOrd="0" destOrd="0" presId="urn:microsoft.com/office/officeart/2009/3/layout/IncreasingArrowsProcess"/>
    <dgm:cxn modelId="{EF1639B5-4E35-4407-87CB-CB72F83257E4}" type="presOf" srcId="{3F4F99CA-339D-468D-83BA-7F59AA116D84}" destId="{5A7CF64E-B358-49ED-8A86-CEBA0ADB5A8B}" srcOrd="0" destOrd="0" presId="urn:microsoft.com/office/officeart/2009/3/layout/IncreasingArrowsProcess"/>
    <dgm:cxn modelId="{0172AD02-4DE7-4A10-BB7E-6BF4441CB85D}" srcId="{BC8A3418-5FF6-4347-8D02-B378AFD67516}" destId="{84FB4104-6165-4B06-A9C7-4600C7A3819A}" srcOrd="0" destOrd="0" parTransId="{6038FD13-392A-4BF6-89B1-7DBBC508BB8D}" sibTransId="{78893762-FE7B-4A16-985C-241BA2855DD0}"/>
    <dgm:cxn modelId="{E0575A0A-DFD3-4BE2-BA37-4C44AB48F67F}" srcId="{3EC49F98-53D3-4DB5-9BC4-DCE778D507E0}" destId="{D5556852-4BBD-430D-A652-BFD59CFF73A5}" srcOrd="0" destOrd="0" parTransId="{5E698792-BEF0-424A-9FD4-A2A62491B159}" sibTransId="{D9D5CD79-FA17-4237-B7D6-64FB4244F5A6}"/>
    <dgm:cxn modelId="{78C65380-D879-400E-B785-BB3BA39E7DE6}" srcId="{3EC49F98-53D3-4DB5-9BC4-DCE778D507E0}" destId="{6708566D-317F-4A77-9C93-1A9445AE1AB2}" srcOrd="1" destOrd="0" parTransId="{BF25EE9D-DB33-4F56-9E40-EEC5C9B3FE3C}" sibTransId="{5189C5F4-C703-428D-9769-571E2C5D5D4A}"/>
    <dgm:cxn modelId="{ABEDCD4E-1773-4088-AE78-377A2FC345DC}" type="presOf" srcId="{BC8A3418-5FF6-4347-8D02-B378AFD67516}" destId="{79BA7D20-D931-4605-849D-6A6503D52705}" srcOrd="0" destOrd="0" presId="urn:microsoft.com/office/officeart/2009/3/layout/IncreasingArrowsProcess"/>
    <dgm:cxn modelId="{9F5A371B-BA2E-471D-A618-DE0410DC3F24}" type="presOf" srcId="{6708566D-317F-4A77-9C93-1A9445AE1AB2}" destId="{C0FAC5F4-8B60-4C17-83AB-E620E67E917F}" srcOrd="0" destOrd="0" presId="urn:microsoft.com/office/officeart/2009/3/layout/IncreasingArrowsProcess"/>
    <dgm:cxn modelId="{5EC85C27-562A-4E16-BB43-2F7973A5B86F}" srcId="{6708566D-317F-4A77-9C93-1A9445AE1AB2}" destId="{070D04A5-D8A5-410C-A2D8-700E71A13200}" srcOrd="0" destOrd="0" parTransId="{BBFDBDCE-11CC-4CD5-9E3C-F755CF10DCCA}" sibTransId="{E9BDF36A-CE4B-493E-8B31-7791720A16CE}"/>
    <dgm:cxn modelId="{736624C3-B9CF-4E3B-91A8-71FCD22EA8D5}" type="presOf" srcId="{84FB4104-6165-4B06-A9C7-4600C7A3819A}" destId="{070DF525-5DDC-4AF0-8490-C998563B463B}" srcOrd="0" destOrd="0" presId="urn:microsoft.com/office/officeart/2009/3/layout/IncreasingArrowsProcess"/>
    <dgm:cxn modelId="{A9FA34A7-3C9F-4E18-A8CD-DFFE0A6399DE}" type="presOf" srcId="{070D04A5-D8A5-410C-A2D8-700E71A13200}" destId="{9CF517EA-7572-4F60-AA84-40722B0B492F}" srcOrd="0" destOrd="0" presId="urn:microsoft.com/office/officeart/2009/3/layout/IncreasingArrowsProcess"/>
    <dgm:cxn modelId="{DC1EED79-D452-46DF-BAD3-E2195A095820}" srcId="{D5556852-4BBD-430D-A652-BFD59CFF73A5}" destId="{3F4F99CA-339D-468D-83BA-7F59AA116D84}" srcOrd="0" destOrd="0" parTransId="{6BEA9C9F-9395-4185-9711-8A01AED27EE6}" sibTransId="{CDB926FD-7B49-4190-90FB-964E92C806CB}"/>
    <dgm:cxn modelId="{6AD68CCB-320D-47F0-88C4-CFF3BF94C17A}" type="presParOf" srcId="{DA21C15D-D366-4D65-89A6-E2BC78A7BA12}" destId="{96CEC0F2-7208-4943-9F6C-59FCD4C487ED}" srcOrd="0" destOrd="0" presId="urn:microsoft.com/office/officeart/2009/3/layout/IncreasingArrowsProcess"/>
    <dgm:cxn modelId="{7872C8EE-D137-41F3-B6FC-501E6C219567}" type="presParOf" srcId="{DA21C15D-D366-4D65-89A6-E2BC78A7BA12}" destId="{5A7CF64E-B358-49ED-8A86-CEBA0ADB5A8B}" srcOrd="1" destOrd="0" presId="urn:microsoft.com/office/officeart/2009/3/layout/IncreasingArrowsProcess"/>
    <dgm:cxn modelId="{3A4CAB28-039F-44B5-831A-26A3D1FF8109}" type="presParOf" srcId="{DA21C15D-D366-4D65-89A6-E2BC78A7BA12}" destId="{C0FAC5F4-8B60-4C17-83AB-E620E67E917F}" srcOrd="2" destOrd="0" presId="urn:microsoft.com/office/officeart/2009/3/layout/IncreasingArrowsProcess"/>
    <dgm:cxn modelId="{7F67CE59-8B6F-447B-B691-7717E3C90219}" type="presParOf" srcId="{DA21C15D-D366-4D65-89A6-E2BC78A7BA12}" destId="{9CF517EA-7572-4F60-AA84-40722B0B492F}" srcOrd="3" destOrd="0" presId="urn:microsoft.com/office/officeart/2009/3/layout/IncreasingArrowsProcess"/>
    <dgm:cxn modelId="{4301E94B-1DFE-4F9E-B7F7-F23A510B2CD8}" type="presParOf" srcId="{DA21C15D-D366-4D65-89A6-E2BC78A7BA12}" destId="{79BA7D20-D931-4605-849D-6A6503D52705}" srcOrd="4" destOrd="0" presId="urn:microsoft.com/office/officeart/2009/3/layout/IncreasingArrowsProcess"/>
    <dgm:cxn modelId="{18C0A3DE-320A-4FFE-B604-3BC124D89519}" type="presParOf" srcId="{DA21C15D-D366-4D65-89A6-E2BC78A7BA12}" destId="{070DF525-5DDC-4AF0-8490-C998563B463B}" srcOrd="5" destOrd="0" presId="urn:microsoft.com/office/officeart/2009/3/layout/IncreasingArrows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C49F98-53D3-4DB5-9BC4-DCE778D507E0}" type="doc">
      <dgm:prSet loTypeId="urn:microsoft.com/office/officeart/2009/3/layout/IncreasingArrowsProcess" loCatId="process" qsTypeId="urn:microsoft.com/office/officeart/2005/8/quickstyle/simple1" qsCatId="simple" csTypeId="urn:microsoft.com/office/officeart/2005/8/colors/colorful2" csCatId="colorful" phldr="1"/>
      <dgm:spPr/>
      <dgm:t>
        <a:bodyPr/>
        <a:lstStyle/>
        <a:p>
          <a:endParaRPr lang="en-US"/>
        </a:p>
      </dgm:t>
    </dgm:pt>
    <dgm:pt modelId="{D5556852-4BBD-430D-A652-BFD59CFF73A5}">
      <dgm:prSet phldrT="[Text]"/>
      <dgm:spPr/>
      <dgm:t>
        <a:bodyPr/>
        <a:lstStyle/>
        <a:p>
          <a:r>
            <a:rPr lang="en-US"/>
            <a:t>Year One, adopt plan to liquidate S corp by year end</a:t>
          </a:r>
        </a:p>
      </dgm:t>
    </dgm:pt>
    <dgm:pt modelId="{5E698792-BEF0-424A-9FD4-A2A62491B159}" type="parTrans" cxnId="{E0575A0A-DFD3-4BE2-BA37-4C44AB48F67F}">
      <dgm:prSet/>
      <dgm:spPr/>
      <dgm:t>
        <a:bodyPr/>
        <a:lstStyle/>
        <a:p>
          <a:endParaRPr lang="en-US"/>
        </a:p>
      </dgm:t>
    </dgm:pt>
    <dgm:pt modelId="{D9D5CD79-FA17-4237-B7D6-64FB4244F5A6}" type="sibTrans" cxnId="{E0575A0A-DFD3-4BE2-BA37-4C44AB48F67F}">
      <dgm:prSet/>
      <dgm:spPr/>
      <dgm:t>
        <a:bodyPr/>
        <a:lstStyle/>
        <a:p>
          <a:endParaRPr lang="en-US"/>
        </a:p>
      </dgm:t>
    </dgm:pt>
    <dgm:pt modelId="{3F4F99CA-339D-468D-83BA-7F59AA116D84}">
      <dgm:prSet phldrT="[Text]"/>
      <dgm:spPr/>
      <dgm:t>
        <a:bodyPr/>
        <a:lstStyle/>
        <a:p>
          <a:r>
            <a:rPr lang="en-US" b="1"/>
            <a:t>S Corp result</a:t>
          </a:r>
        </a:p>
        <a:p>
          <a:endParaRPr lang="en-US" b="1"/>
        </a:p>
        <a:p>
          <a:endParaRPr lang="en-US" b="1"/>
        </a:p>
        <a:p>
          <a:r>
            <a:rPr lang="en-US" b="1"/>
            <a:t>Shareholder result</a:t>
          </a:r>
        </a:p>
      </dgm:t>
    </dgm:pt>
    <dgm:pt modelId="{6BEA9C9F-9395-4185-9711-8A01AED27EE6}" type="parTrans" cxnId="{DC1EED79-D452-46DF-BAD3-E2195A095820}">
      <dgm:prSet/>
      <dgm:spPr/>
      <dgm:t>
        <a:bodyPr/>
        <a:lstStyle/>
        <a:p>
          <a:endParaRPr lang="en-US"/>
        </a:p>
      </dgm:t>
    </dgm:pt>
    <dgm:pt modelId="{CDB926FD-7B49-4190-90FB-964E92C806CB}" type="sibTrans" cxnId="{DC1EED79-D452-46DF-BAD3-E2195A095820}">
      <dgm:prSet/>
      <dgm:spPr/>
      <dgm:t>
        <a:bodyPr/>
        <a:lstStyle/>
        <a:p>
          <a:endParaRPr lang="en-US"/>
        </a:p>
      </dgm:t>
    </dgm:pt>
    <dgm:pt modelId="{6708566D-317F-4A77-9C93-1A9445AE1AB2}">
      <dgm:prSet phldrT="[Text]"/>
      <dgm:spPr/>
      <dgm:t>
        <a:bodyPr/>
        <a:lstStyle/>
        <a:p>
          <a:r>
            <a:rPr lang="en-US"/>
            <a:t>Year One, sell asset, take installment note, liquidating distribution of note</a:t>
          </a:r>
        </a:p>
      </dgm:t>
    </dgm:pt>
    <dgm:pt modelId="{BF25EE9D-DB33-4F56-9E40-EEC5C9B3FE3C}" type="parTrans" cxnId="{78C65380-D879-400E-B785-BB3BA39E7DE6}">
      <dgm:prSet/>
      <dgm:spPr/>
      <dgm:t>
        <a:bodyPr/>
        <a:lstStyle/>
        <a:p>
          <a:endParaRPr lang="en-US"/>
        </a:p>
      </dgm:t>
    </dgm:pt>
    <dgm:pt modelId="{5189C5F4-C703-428D-9769-571E2C5D5D4A}" type="sibTrans" cxnId="{78C65380-D879-400E-B785-BB3BA39E7DE6}">
      <dgm:prSet/>
      <dgm:spPr/>
      <dgm:t>
        <a:bodyPr/>
        <a:lstStyle/>
        <a:p>
          <a:endParaRPr lang="en-US"/>
        </a:p>
      </dgm:t>
    </dgm:pt>
    <dgm:pt modelId="{070D04A5-D8A5-410C-A2D8-700E71A13200}">
      <dgm:prSet phldrT="[Text]"/>
      <dgm:spPr/>
      <dgm:t>
        <a:bodyPr/>
        <a:lstStyle/>
        <a:p>
          <a:r>
            <a:rPr lang="en-US" b="1"/>
            <a:t>S Corp result</a:t>
          </a:r>
        </a:p>
        <a:p>
          <a:endParaRPr lang="en-US" b="1"/>
        </a:p>
        <a:p>
          <a:endParaRPr lang="en-US" b="1"/>
        </a:p>
        <a:p>
          <a:r>
            <a:rPr lang="en-US" b="1"/>
            <a:t>Shareholder result</a:t>
          </a:r>
        </a:p>
      </dgm:t>
    </dgm:pt>
    <dgm:pt modelId="{BBFDBDCE-11CC-4CD5-9E3C-F755CF10DCCA}" type="parTrans" cxnId="{5EC85C27-562A-4E16-BB43-2F7973A5B86F}">
      <dgm:prSet/>
      <dgm:spPr/>
      <dgm:t>
        <a:bodyPr/>
        <a:lstStyle/>
        <a:p>
          <a:endParaRPr lang="en-US"/>
        </a:p>
      </dgm:t>
    </dgm:pt>
    <dgm:pt modelId="{E9BDF36A-CE4B-493E-8B31-7791720A16CE}" type="sibTrans" cxnId="{5EC85C27-562A-4E16-BB43-2F7973A5B86F}">
      <dgm:prSet/>
      <dgm:spPr/>
      <dgm:t>
        <a:bodyPr/>
        <a:lstStyle/>
        <a:p>
          <a:endParaRPr lang="en-US"/>
        </a:p>
      </dgm:t>
    </dgm:pt>
    <dgm:pt modelId="{BC8A3418-5FF6-4347-8D02-B378AFD67516}">
      <dgm:prSet phldrT="[Text]"/>
      <dgm:spPr/>
      <dgm:t>
        <a:bodyPr/>
        <a:lstStyle/>
        <a:p>
          <a:r>
            <a:rPr lang="en-US"/>
            <a:t>Year Two, shareholders collect cash from note</a:t>
          </a:r>
        </a:p>
      </dgm:t>
    </dgm:pt>
    <dgm:pt modelId="{01D0D927-F43F-4F04-BCDA-0B99C310CAB7}" type="parTrans" cxnId="{140C4777-C3DA-4DA8-AE5B-8B466FDE5384}">
      <dgm:prSet/>
      <dgm:spPr/>
      <dgm:t>
        <a:bodyPr/>
        <a:lstStyle/>
        <a:p>
          <a:endParaRPr lang="en-US"/>
        </a:p>
      </dgm:t>
    </dgm:pt>
    <dgm:pt modelId="{428CDA6D-BE5F-4529-B6F3-F6674C15311E}" type="sibTrans" cxnId="{140C4777-C3DA-4DA8-AE5B-8B466FDE5384}">
      <dgm:prSet/>
      <dgm:spPr/>
      <dgm:t>
        <a:bodyPr/>
        <a:lstStyle/>
        <a:p>
          <a:endParaRPr lang="en-US"/>
        </a:p>
      </dgm:t>
    </dgm:pt>
    <dgm:pt modelId="{84FB4104-6165-4B06-A9C7-4600C7A3819A}">
      <dgm:prSet phldrT="[Text]"/>
      <dgm:spPr/>
      <dgm:t>
        <a:bodyPr/>
        <a:lstStyle/>
        <a:p>
          <a:r>
            <a:rPr lang="en-US" b="1"/>
            <a:t>S Corp result</a:t>
          </a:r>
        </a:p>
        <a:p>
          <a:endParaRPr lang="en-US" b="1"/>
        </a:p>
        <a:p>
          <a:endParaRPr lang="en-US" b="1"/>
        </a:p>
        <a:p>
          <a:r>
            <a:rPr lang="en-US" b="1"/>
            <a:t>Shareholder result</a:t>
          </a:r>
        </a:p>
      </dgm:t>
    </dgm:pt>
    <dgm:pt modelId="{6038FD13-392A-4BF6-89B1-7DBBC508BB8D}" type="parTrans" cxnId="{0172AD02-4DE7-4A10-BB7E-6BF4441CB85D}">
      <dgm:prSet/>
      <dgm:spPr/>
      <dgm:t>
        <a:bodyPr/>
        <a:lstStyle/>
        <a:p>
          <a:endParaRPr lang="en-US"/>
        </a:p>
      </dgm:t>
    </dgm:pt>
    <dgm:pt modelId="{78893762-FE7B-4A16-985C-241BA2855DD0}" type="sibTrans" cxnId="{0172AD02-4DE7-4A10-BB7E-6BF4441CB85D}">
      <dgm:prSet/>
      <dgm:spPr/>
      <dgm:t>
        <a:bodyPr/>
        <a:lstStyle/>
        <a:p>
          <a:endParaRPr lang="en-US"/>
        </a:p>
      </dgm:t>
    </dgm:pt>
    <dgm:pt modelId="{DA21C15D-D366-4D65-89A6-E2BC78A7BA12}" type="pres">
      <dgm:prSet presAssocID="{3EC49F98-53D3-4DB5-9BC4-DCE778D507E0}" presName="Name0" presStyleCnt="0">
        <dgm:presLayoutVars>
          <dgm:chMax val="5"/>
          <dgm:chPref val="5"/>
          <dgm:dir/>
          <dgm:animLvl val="lvl"/>
        </dgm:presLayoutVars>
      </dgm:prSet>
      <dgm:spPr/>
    </dgm:pt>
    <dgm:pt modelId="{96CEC0F2-7208-4943-9F6C-59FCD4C487ED}" type="pres">
      <dgm:prSet presAssocID="{D5556852-4BBD-430D-A652-BFD59CFF73A5}" presName="parentText1" presStyleLbl="node1" presStyleIdx="0" presStyleCnt="3">
        <dgm:presLayoutVars>
          <dgm:chMax/>
          <dgm:chPref val="3"/>
          <dgm:bulletEnabled val="1"/>
        </dgm:presLayoutVars>
      </dgm:prSet>
      <dgm:spPr/>
    </dgm:pt>
    <dgm:pt modelId="{5A7CF64E-B358-49ED-8A86-CEBA0ADB5A8B}" type="pres">
      <dgm:prSet presAssocID="{D5556852-4BBD-430D-A652-BFD59CFF73A5}" presName="childText1" presStyleLbl="solidAlignAcc1" presStyleIdx="0" presStyleCnt="3">
        <dgm:presLayoutVars>
          <dgm:chMax val="0"/>
          <dgm:chPref val="0"/>
          <dgm:bulletEnabled val="1"/>
        </dgm:presLayoutVars>
      </dgm:prSet>
      <dgm:spPr/>
    </dgm:pt>
    <dgm:pt modelId="{C0FAC5F4-8B60-4C17-83AB-E620E67E917F}" type="pres">
      <dgm:prSet presAssocID="{6708566D-317F-4A77-9C93-1A9445AE1AB2}" presName="parentText2" presStyleLbl="node1" presStyleIdx="1" presStyleCnt="3">
        <dgm:presLayoutVars>
          <dgm:chMax/>
          <dgm:chPref val="3"/>
          <dgm:bulletEnabled val="1"/>
        </dgm:presLayoutVars>
      </dgm:prSet>
      <dgm:spPr/>
    </dgm:pt>
    <dgm:pt modelId="{9CF517EA-7572-4F60-AA84-40722B0B492F}" type="pres">
      <dgm:prSet presAssocID="{6708566D-317F-4A77-9C93-1A9445AE1AB2}" presName="childText2" presStyleLbl="solidAlignAcc1" presStyleIdx="1" presStyleCnt="3">
        <dgm:presLayoutVars>
          <dgm:chMax val="0"/>
          <dgm:chPref val="0"/>
          <dgm:bulletEnabled val="1"/>
        </dgm:presLayoutVars>
      </dgm:prSet>
      <dgm:spPr/>
    </dgm:pt>
    <dgm:pt modelId="{79BA7D20-D931-4605-849D-6A6503D52705}" type="pres">
      <dgm:prSet presAssocID="{BC8A3418-5FF6-4347-8D02-B378AFD67516}" presName="parentText3" presStyleLbl="node1" presStyleIdx="2" presStyleCnt="3">
        <dgm:presLayoutVars>
          <dgm:chMax/>
          <dgm:chPref val="3"/>
          <dgm:bulletEnabled val="1"/>
        </dgm:presLayoutVars>
      </dgm:prSet>
      <dgm:spPr/>
    </dgm:pt>
    <dgm:pt modelId="{070DF525-5DDC-4AF0-8490-C998563B463B}" type="pres">
      <dgm:prSet presAssocID="{BC8A3418-5FF6-4347-8D02-B378AFD67516}" presName="childText3" presStyleLbl="solidAlignAcc1" presStyleIdx="2" presStyleCnt="3">
        <dgm:presLayoutVars>
          <dgm:chMax val="0"/>
          <dgm:chPref val="0"/>
          <dgm:bulletEnabled val="1"/>
        </dgm:presLayoutVars>
      </dgm:prSet>
      <dgm:spPr/>
    </dgm:pt>
  </dgm:ptLst>
  <dgm:cxnLst>
    <dgm:cxn modelId="{4B0F9E57-4D4C-4A8B-BCEC-00255E8B8975}" type="presOf" srcId="{3F4F99CA-339D-468D-83BA-7F59AA116D84}" destId="{5A7CF64E-B358-49ED-8A86-CEBA0ADB5A8B}" srcOrd="0" destOrd="0" presId="urn:microsoft.com/office/officeart/2009/3/layout/IncreasingArrowsProcess"/>
    <dgm:cxn modelId="{78C65380-D879-400E-B785-BB3BA39E7DE6}" srcId="{3EC49F98-53D3-4DB5-9BC4-DCE778D507E0}" destId="{6708566D-317F-4A77-9C93-1A9445AE1AB2}" srcOrd="1" destOrd="0" parTransId="{BF25EE9D-DB33-4F56-9E40-EEC5C9B3FE3C}" sibTransId="{5189C5F4-C703-428D-9769-571E2C5D5D4A}"/>
    <dgm:cxn modelId="{C8FD3239-DD03-473F-A759-1E009C2C9677}" type="presOf" srcId="{84FB4104-6165-4B06-A9C7-4600C7A3819A}" destId="{070DF525-5DDC-4AF0-8490-C998563B463B}" srcOrd="0" destOrd="0" presId="urn:microsoft.com/office/officeart/2009/3/layout/IncreasingArrowsProcess"/>
    <dgm:cxn modelId="{C6548E56-6E0E-4698-9FAB-30E46E7AFE62}" type="presOf" srcId="{BC8A3418-5FF6-4347-8D02-B378AFD67516}" destId="{79BA7D20-D931-4605-849D-6A6503D52705}" srcOrd="0" destOrd="0" presId="urn:microsoft.com/office/officeart/2009/3/layout/IncreasingArrowsProcess"/>
    <dgm:cxn modelId="{0172AD02-4DE7-4A10-BB7E-6BF4441CB85D}" srcId="{BC8A3418-5FF6-4347-8D02-B378AFD67516}" destId="{84FB4104-6165-4B06-A9C7-4600C7A3819A}" srcOrd="0" destOrd="0" parTransId="{6038FD13-392A-4BF6-89B1-7DBBC508BB8D}" sibTransId="{78893762-FE7B-4A16-985C-241BA2855DD0}"/>
    <dgm:cxn modelId="{E0575A0A-DFD3-4BE2-BA37-4C44AB48F67F}" srcId="{3EC49F98-53D3-4DB5-9BC4-DCE778D507E0}" destId="{D5556852-4BBD-430D-A652-BFD59CFF73A5}" srcOrd="0" destOrd="0" parTransId="{5E698792-BEF0-424A-9FD4-A2A62491B159}" sibTransId="{D9D5CD79-FA17-4237-B7D6-64FB4244F5A6}"/>
    <dgm:cxn modelId="{D005ABCE-FDCE-46A3-86A1-DD25FDBCA706}" type="presOf" srcId="{6708566D-317F-4A77-9C93-1A9445AE1AB2}" destId="{C0FAC5F4-8B60-4C17-83AB-E620E67E917F}" srcOrd="0" destOrd="0" presId="urn:microsoft.com/office/officeart/2009/3/layout/IncreasingArrowsProcess"/>
    <dgm:cxn modelId="{DC1EED79-D452-46DF-BAD3-E2195A095820}" srcId="{D5556852-4BBD-430D-A652-BFD59CFF73A5}" destId="{3F4F99CA-339D-468D-83BA-7F59AA116D84}" srcOrd="0" destOrd="0" parTransId="{6BEA9C9F-9395-4185-9711-8A01AED27EE6}" sibTransId="{CDB926FD-7B49-4190-90FB-964E92C806CB}"/>
    <dgm:cxn modelId="{5EC85C27-562A-4E16-BB43-2F7973A5B86F}" srcId="{6708566D-317F-4A77-9C93-1A9445AE1AB2}" destId="{070D04A5-D8A5-410C-A2D8-700E71A13200}" srcOrd="0" destOrd="0" parTransId="{BBFDBDCE-11CC-4CD5-9E3C-F755CF10DCCA}" sibTransId="{E9BDF36A-CE4B-493E-8B31-7791720A16CE}"/>
    <dgm:cxn modelId="{EBDE0630-27D1-4DFF-9E24-D8A5A2974EE3}" type="presOf" srcId="{D5556852-4BBD-430D-A652-BFD59CFF73A5}" destId="{96CEC0F2-7208-4943-9F6C-59FCD4C487ED}" srcOrd="0" destOrd="0" presId="urn:microsoft.com/office/officeart/2009/3/layout/IncreasingArrowsProcess"/>
    <dgm:cxn modelId="{140C4777-C3DA-4DA8-AE5B-8B466FDE5384}" srcId="{3EC49F98-53D3-4DB5-9BC4-DCE778D507E0}" destId="{BC8A3418-5FF6-4347-8D02-B378AFD67516}" srcOrd="2" destOrd="0" parTransId="{01D0D927-F43F-4F04-BCDA-0B99C310CAB7}" sibTransId="{428CDA6D-BE5F-4529-B6F3-F6674C15311E}"/>
    <dgm:cxn modelId="{5644191F-E544-4491-B50B-6A2A52A4C008}" type="presOf" srcId="{070D04A5-D8A5-410C-A2D8-700E71A13200}" destId="{9CF517EA-7572-4F60-AA84-40722B0B492F}" srcOrd="0" destOrd="0" presId="urn:microsoft.com/office/officeart/2009/3/layout/IncreasingArrowsProcess"/>
    <dgm:cxn modelId="{F337F261-F081-4BB5-86E8-6349DD461B15}" type="presOf" srcId="{3EC49F98-53D3-4DB5-9BC4-DCE778D507E0}" destId="{DA21C15D-D366-4D65-89A6-E2BC78A7BA12}" srcOrd="0" destOrd="0" presId="urn:microsoft.com/office/officeart/2009/3/layout/IncreasingArrowsProcess"/>
    <dgm:cxn modelId="{A1926F1C-5190-499B-A755-7D963C8E4BBF}" type="presParOf" srcId="{DA21C15D-D366-4D65-89A6-E2BC78A7BA12}" destId="{96CEC0F2-7208-4943-9F6C-59FCD4C487ED}" srcOrd="0" destOrd="0" presId="urn:microsoft.com/office/officeart/2009/3/layout/IncreasingArrowsProcess"/>
    <dgm:cxn modelId="{1BEE255C-28AA-430D-AC34-800D0A18A908}" type="presParOf" srcId="{DA21C15D-D366-4D65-89A6-E2BC78A7BA12}" destId="{5A7CF64E-B358-49ED-8A86-CEBA0ADB5A8B}" srcOrd="1" destOrd="0" presId="urn:microsoft.com/office/officeart/2009/3/layout/IncreasingArrowsProcess"/>
    <dgm:cxn modelId="{34B23C6C-8D0D-4C62-9F92-1EEEB4857567}" type="presParOf" srcId="{DA21C15D-D366-4D65-89A6-E2BC78A7BA12}" destId="{C0FAC5F4-8B60-4C17-83AB-E620E67E917F}" srcOrd="2" destOrd="0" presId="urn:microsoft.com/office/officeart/2009/3/layout/IncreasingArrowsProcess"/>
    <dgm:cxn modelId="{28EB8819-F148-485C-A703-3E05CB4F06E1}" type="presParOf" srcId="{DA21C15D-D366-4D65-89A6-E2BC78A7BA12}" destId="{9CF517EA-7572-4F60-AA84-40722B0B492F}" srcOrd="3" destOrd="0" presId="urn:microsoft.com/office/officeart/2009/3/layout/IncreasingArrowsProcess"/>
    <dgm:cxn modelId="{F71B8DE5-9B24-45E1-B719-AA9822B51448}" type="presParOf" srcId="{DA21C15D-D366-4D65-89A6-E2BC78A7BA12}" destId="{79BA7D20-D931-4605-849D-6A6503D52705}" srcOrd="4" destOrd="0" presId="urn:microsoft.com/office/officeart/2009/3/layout/IncreasingArrowsProcess"/>
    <dgm:cxn modelId="{F0F731E1-C9F7-4650-A240-C8E689405BE7}" type="presParOf" srcId="{DA21C15D-D366-4D65-89A6-E2BC78A7BA12}" destId="{070DF525-5DDC-4AF0-8490-C998563B463B}" srcOrd="5" destOrd="0" presId="urn:microsoft.com/office/officeart/2009/3/layout/IncreasingArrows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CEC0F2-7208-4943-9F6C-59FCD4C487ED}">
      <dsp:nvSpPr>
        <dsp:cNvPr id="0" name=""/>
        <dsp:cNvSpPr/>
      </dsp:nvSpPr>
      <dsp:spPr>
        <a:xfrm>
          <a:off x="0" y="100827"/>
          <a:ext cx="5499099" cy="800878"/>
        </a:xfrm>
        <a:prstGeom prst="rightArrow">
          <a:avLst>
            <a:gd name="adj1" fmla="val 50000"/>
            <a:gd name="adj2" fmla="val 5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7139" numCol="1" spcCol="1270" anchor="ctr" anchorCtr="0">
          <a:noAutofit/>
        </a:bodyPr>
        <a:lstStyle/>
        <a:p>
          <a:pPr marL="0" lvl="0" indent="0" algn="l" defTabSz="355600">
            <a:lnSpc>
              <a:spcPct val="90000"/>
            </a:lnSpc>
            <a:spcBef>
              <a:spcPct val="0"/>
            </a:spcBef>
            <a:spcAft>
              <a:spcPct val="35000"/>
            </a:spcAft>
            <a:buNone/>
          </a:pPr>
          <a:r>
            <a:rPr lang="en-US" sz="800" kern="1200"/>
            <a:t>Year One, sell asset, take installment note</a:t>
          </a:r>
        </a:p>
      </dsp:txBody>
      <dsp:txXfrm>
        <a:off x="0" y="301047"/>
        <a:ext cx="5298880" cy="400439"/>
      </dsp:txXfrm>
    </dsp:sp>
    <dsp:sp modelId="{5A7CF64E-B358-49ED-8A86-CEBA0ADB5A8B}">
      <dsp:nvSpPr>
        <dsp:cNvPr id="0" name=""/>
        <dsp:cNvSpPr/>
      </dsp:nvSpPr>
      <dsp:spPr>
        <a:xfrm>
          <a:off x="0" y="718420"/>
          <a:ext cx="1693722" cy="1542786"/>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b="1" kern="1200"/>
            <a:t>S Corp result</a:t>
          </a:r>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r>
            <a:rPr lang="en-US" sz="800" b="1" kern="1200"/>
            <a:t>Shareholder result</a:t>
          </a:r>
        </a:p>
      </dsp:txBody>
      <dsp:txXfrm>
        <a:off x="0" y="718420"/>
        <a:ext cx="1693722" cy="1542786"/>
      </dsp:txXfrm>
    </dsp:sp>
    <dsp:sp modelId="{C0FAC5F4-8B60-4C17-83AB-E620E67E917F}">
      <dsp:nvSpPr>
        <dsp:cNvPr id="0" name=""/>
        <dsp:cNvSpPr/>
      </dsp:nvSpPr>
      <dsp:spPr>
        <a:xfrm>
          <a:off x="1693722" y="367786"/>
          <a:ext cx="3805377" cy="800878"/>
        </a:xfrm>
        <a:prstGeom prst="rightArrow">
          <a:avLst>
            <a:gd name="adj1" fmla="val 50000"/>
            <a:gd name="adj2" fmla="val 50000"/>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7139" numCol="1" spcCol="1270" anchor="ctr" anchorCtr="0">
          <a:noAutofit/>
        </a:bodyPr>
        <a:lstStyle/>
        <a:p>
          <a:pPr marL="0" lvl="0" indent="0" algn="l" defTabSz="355600">
            <a:lnSpc>
              <a:spcPct val="90000"/>
            </a:lnSpc>
            <a:spcBef>
              <a:spcPct val="0"/>
            </a:spcBef>
            <a:spcAft>
              <a:spcPct val="35000"/>
            </a:spcAft>
            <a:buNone/>
          </a:pPr>
          <a:r>
            <a:rPr lang="en-US" sz="800" kern="1200"/>
            <a:t>Year One, adopt plan to liquidate S corp by year end, liquidating distribution of note</a:t>
          </a:r>
        </a:p>
      </dsp:txBody>
      <dsp:txXfrm>
        <a:off x="1693722" y="568006"/>
        <a:ext cx="3605158" cy="400439"/>
      </dsp:txXfrm>
    </dsp:sp>
    <dsp:sp modelId="{9CF517EA-7572-4F60-AA84-40722B0B492F}">
      <dsp:nvSpPr>
        <dsp:cNvPr id="0" name=""/>
        <dsp:cNvSpPr/>
      </dsp:nvSpPr>
      <dsp:spPr>
        <a:xfrm>
          <a:off x="1693722" y="985379"/>
          <a:ext cx="1693722" cy="1542786"/>
        </a:xfrm>
        <a:prstGeom prst="rect">
          <a:avLst/>
        </a:prstGeom>
        <a:solidFill>
          <a:schemeClr val="lt1">
            <a:hueOff val="0"/>
            <a:satOff val="0"/>
            <a:lumOff val="0"/>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b="1" kern="1200"/>
            <a:t>S Corp result</a:t>
          </a:r>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r>
            <a:rPr lang="en-US" sz="800" b="1" kern="1200"/>
            <a:t>Shareholder result</a:t>
          </a:r>
        </a:p>
      </dsp:txBody>
      <dsp:txXfrm>
        <a:off x="1693722" y="985379"/>
        <a:ext cx="1693722" cy="1542786"/>
      </dsp:txXfrm>
    </dsp:sp>
    <dsp:sp modelId="{79BA7D20-D931-4605-849D-6A6503D52705}">
      <dsp:nvSpPr>
        <dsp:cNvPr id="0" name=""/>
        <dsp:cNvSpPr/>
      </dsp:nvSpPr>
      <dsp:spPr>
        <a:xfrm>
          <a:off x="3387445" y="634746"/>
          <a:ext cx="2111654" cy="800878"/>
        </a:xfrm>
        <a:prstGeom prst="rightArrow">
          <a:avLst>
            <a:gd name="adj1" fmla="val 50000"/>
            <a:gd name="adj2" fmla="val 5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7139" numCol="1" spcCol="1270" anchor="ctr" anchorCtr="0">
          <a:noAutofit/>
        </a:bodyPr>
        <a:lstStyle/>
        <a:p>
          <a:pPr marL="0" lvl="0" indent="0" algn="l" defTabSz="355600">
            <a:lnSpc>
              <a:spcPct val="90000"/>
            </a:lnSpc>
            <a:spcBef>
              <a:spcPct val="0"/>
            </a:spcBef>
            <a:spcAft>
              <a:spcPct val="35000"/>
            </a:spcAft>
            <a:buNone/>
          </a:pPr>
          <a:r>
            <a:rPr lang="en-US" sz="800" kern="1200"/>
            <a:t>Year Two, shareholders collect cash from note</a:t>
          </a:r>
        </a:p>
      </dsp:txBody>
      <dsp:txXfrm>
        <a:off x="3387445" y="834966"/>
        <a:ext cx="1911435" cy="400439"/>
      </dsp:txXfrm>
    </dsp:sp>
    <dsp:sp modelId="{070DF525-5DDC-4AF0-8490-C998563B463B}">
      <dsp:nvSpPr>
        <dsp:cNvPr id="0" name=""/>
        <dsp:cNvSpPr/>
      </dsp:nvSpPr>
      <dsp:spPr>
        <a:xfrm>
          <a:off x="3387445" y="1252339"/>
          <a:ext cx="1693722" cy="1520208"/>
        </a:xfrm>
        <a:prstGeom prst="rect">
          <a:avLst/>
        </a:prstGeom>
        <a:solidFill>
          <a:schemeClr val="lt1">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b="1" kern="1200"/>
            <a:t>S Corp result</a:t>
          </a:r>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endParaRPr lang="en-US" sz="800" b="1" kern="1200"/>
        </a:p>
        <a:p>
          <a:pPr marL="0" lvl="0" indent="0" algn="l" defTabSz="355600">
            <a:lnSpc>
              <a:spcPct val="90000"/>
            </a:lnSpc>
            <a:spcBef>
              <a:spcPct val="0"/>
            </a:spcBef>
            <a:spcAft>
              <a:spcPct val="35000"/>
            </a:spcAft>
            <a:buNone/>
          </a:pPr>
          <a:r>
            <a:rPr lang="en-US" sz="800" b="1" kern="1200"/>
            <a:t>Shareholder result</a:t>
          </a:r>
        </a:p>
      </dsp:txBody>
      <dsp:txXfrm>
        <a:off x="3387445" y="1252339"/>
        <a:ext cx="1693722" cy="15202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CEC0F2-7208-4943-9F6C-59FCD4C487ED}">
      <dsp:nvSpPr>
        <dsp:cNvPr id="0" name=""/>
        <dsp:cNvSpPr/>
      </dsp:nvSpPr>
      <dsp:spPr>
        <a:xfrm>
          <a:off x="0" y="5852"/>
          <a:ext cx="5044440" cy="734662"/>
        </a:xfrm>
        <a:prstGeom prst="rightArrow">
          <a:avLst>
            <a:gd name="adj1" fmla="val 50000"/>
            <a:gd name="adj2" fmla="val 5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54000" bIns="116628" numCol="1" spcCol="1270" anchor="ctr" anchorCtr="0">
          <a:noAutofit/>
        </a:bodyPr>
        <a:lstStyle/>
        <a:p>
          <a:pPr marL="0" lvl="0" indent="0" algn="l" defTabSz="311150">
            <a:lnSpc>
              <a:spcPct val="90000"/>
            </a:lnSpc>
            <a:spcBef>
              <a:spcPct val="0"/>
            </a:spcBef>
            <a:spcAft>
              <a:spcPct val="35000"/>
            </a:spcAft>
            <a:buNone/>
          </a:pPr>
          <a:r>
            <a:rPr lang="en-US" sz="700" kern="1200"/>
            <a:t>Year One, adopt plan to liquidate S corp by year end</a:t>
          </a:r>
        </a:p>
      </dsp:txBody>
      <dsp:txXfrm>
        <a:off x="0" y="189518"/>
        <a:ext cx="4860775" cy="367331"/>
      </dsp:txXfrm>
    </dsp:sp>
    <dsp:sp modelId="{5A7CF64E-B358-49ED-8A86-CEBA0ADB5A8B}">
      <dsp:nvSpPr>
        <dsp:cNvPr id="0" name=""/>
        <dsp:cNvSpPr/>
      </dsp:nvSpPr>
      <dsp:spPr>
        <a:xfrm>
          <a:off x="0" y="572383"/>
          <a:ext cx="1553687" cy="1415230"/>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t>S Corp result</a:t>
          </a:r>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r>
            <a:rPr lang="en-US" sz="700" b="1" kern="1200"/>
            <a:t>Shareholder result</a:t>
          </a:r>
        </a:p>
      </dsp:txBody>
      <dsp:txXfrm>
        <a:off x="0" y="572383"/>
        <a:ext cx="1553687" cy="1415230"/>
      </dsp:txXfrm>
    </dsp:sp>
    <dsp:sp modelId="{C0FAC5F4-8B60-4C17-83AB-E620E67E917F}">
      <dsp:nvSpPr>
        <dsp:cNvPr id="0" name=""/>
        <dsp:cNvSpPr/>
      </dsp:nvSpPr>
      <dsp:spPr>
        <a:xfrm>
          <a:off x="1553687" y="250740"/>
          <a:ext cx="3490752" cy="734662"/>
        </a:xfrm>
        <a:prstGeom prst="rightArrow">
          <a:avLst>
            <a:gd name="adj1" fmla="val 50000"/>
            <a:gd name="adj2" fmla="val 50000"/>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54000" bIns="116628" numCol="1" spcCol="1270" anchor="ctr" anchorCtr="0">
          <a:noAutofit/>
        </a:bodyPr>
        <a:lstStyle/>
        <a:p>
          <a:pPr marL="0" lvl="0" indent="0" algn="l" defTabSz="311150">
            <a:lnSpc>
              <a:spcPct val="90000"/>
            </a:lnSpc>
            <a:spcBef>
              <a:spcPct val="0"/>
            </a:spcBef>
            <a:spcAft>
              <a:spcPct val="35000"/>
            </a:spcAft>
            <a:buNone/>
          </a:pPr>
          <a:r>
            <a:rPr lang="en-US" sz="700" kern="1200"/>
            <a:t>Year One, sell asset, take installment note, liquidating distribution of note</a:t>
          </a:r>
        </a:p>
      </dsp:txBody>
      <dsp:txXfrm>
        <a:off x="1553687" y="434406"/>
        <a:ext cx="3307087" cy="367331"/>
      </dsp:txXfrm>
    </dsp:sp>
    <dsp:sp modelId="{9CF517EA-7572-4F60-AA84-40722B0B492F}">
      <dsp:nvSpPr>
        <dsp:cNvPr id="0" name=""/>
        <dsp:cNvSpPr/>
      </dsp:nvSpPr>
      <dsp:spPr>
        <a:xfrm>
          <a:off x="1553687" y="817271"/>
          <a:ext cx="1553687" cy="1415230"/>
        </a:xfrm>
        <a:prstGeom prst="rect">
          <a:avLst/>
        </a:prstGeom>
        <a:solidFill>
          <a:schemeClr val="lt1">
            <a:hueOff val="0"/>
            <a:satOff val="0"/>
            <a:lumOff val="0"/>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t>S Corp result</a:t>
          </a:r>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r>
            <a:rPr lang="en-US" sz="700" b="1" kern="1200"/>
            <a:t>Shareholder result</a:t>
          </a:r>
        </a:p>
      </dsp:txBody>
      <dsp:txXfrm>
        <a:off x="1553687" y="817271"/>
        <a:ext cx="1553687" cy="1415230"/>
      </dsp:txXfrm>
    </dsp:sp>
    <dsp:sp modelId="{79BA7D20-D931-4605-849D-6A6503D52705}">
      <dsp:nvSpPr>
        <dsp:cNvPr id="0" name=""/>
        <dsp:cNvSpPr/>
      </dsp:nvSpPr>
      <dsp:spPr>
        <a:xfrm>
          <a:off x="3107375" y="495627"/>
          <a:ext cx="1937064" cy="734662"/>
        </a:xfrm>
        <a:prstGeom prst="rightArrow">
          <a:avLst>
            <a:gd name="adj1" fmla="val 50000"/>
            <a:gd name="adj2" fmla="val 5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54000" bIns="116628" numCol="1" spcCol="1270" anchor="ctr" anchorCtr="0">
          <a:noAutofit/>
        </a:bodyPr>
        <a:lstStyle/>
        <a:p>
          <a:pPr marL="0" lvl="0" indent="0" algn="l" defTabSz="311150">
            <a:lnSpc>
              <a:spcPct val="90000"/>
            </a:lnSpc>
            <a:spcBef>
              <a:spcPct val="0"/>
            </a:spcBef>
            <a:spcAft>
              <a:spcPct val="35000"/>
            </a:spcAft>
            <a:buNone/>
          </a:pPr>
          <a:r>
            <a:rPr lang="en-US" sz="700" kern="1200"/>
            <a:t>Year Two, shareholders collect cash from note</a:t>
          </a:r>
        </a:p>
      </dsp:txBody>
      <dsp:txXfrm>
        <a:off x="3107375" y="679293"/>
        <a:ext cx="1753399" cy="367331"/>
      </dsp:txXfrm>
    </dsp:sp>
    <dsp:sp modelId="{070DF525-5DDC-4AF0-8490-C998563B463B}">
      <dsp:nvSpPr>
        <dsp:cNvPr id="0" name=""/>
        <dsp:cNvSpPr/>
      </dsp:nvSpPr>
      <dsp:spPr>
        <a:xfrm>
          <a:off x="3107375" y="1062158"/>
          <a:ext cx="1553687" cy="1394518"/>
        </a:xfrm>
        <a:prstGeom prst="rect">
          <a:avLst/>
        </a:prstGeom>
        <a:solidFill>
          <a:schemeClr val="lt1">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t>S Corp result</a:t>
          </a:r>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endParaRPr lang="en-US" sz="700" b="1" kern="1200"/>
        </a:p>
        <a:p>
          <a:pPr marL="0" lvl="0" indent="0" algn="l" defTabSz="311150">
            <a:lnSpc>
              <a:spcPct val="90000"/>
            </a:lnSpc>
            <a:spcBef>
              <a:spcPct val="0"/>
            </a:spcBef>
            <a:spcAft>
              <a:spcPct val="35000"/>
            </a:spcAft>
            <a:buNone/>
          </a:pPr>
          <a:r>
            <a:rPr lang="en-US" sz="700" b="1" kern="1200"/>
            <a:t>Shareholder result</a:t>
          </a:r>
        </a:p>
      </dsp:txBody>
      <dsp:txXfrm>
        <a:off x="3107375" y="1062158"/>
        <a:ext cx="1553687" cy="1394518"/>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Kitamori</dc:creator>
  <cp:keywords/>
  <dc:description/>
  <cp:lastModifiedBy>Matt Kitamori</cp:lastModifiedBy>
  <cp:revision>1</cp:revision>
  <dcterms:created xsi:type="dcterms:W3CDTF">2017-03-05T23:06:00Z</dcterms:created>
  <dcterms:modified xsi:type="dcterms:W3CDTF">2017-03-05T23:08:00Z</dcterms:modified>
</cp:coreProperties>
</file>